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南京市栖霞区司法局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5"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1、承担全面依法治区重大问题的政策研究，协调有关方面提出全面依法治区中长期规划建议，负责有关重大决策部署督查工作。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承担统筹推进法治政府建设的责任。指导、监督区政府各部门、各街道依法行政工作。负责综合协调行政执法，承担推进行政执法体制改革有关工作，推进严格规范公正文明执法。承担区政府的行政复议、行政应诉、行政赔偿工作。指导监督全区行政复议、行政应诉和行政赔偿工作，负责办理行政复议和行政应诉案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3、贯彻执行国家和省、市司法行政工作方针、政策、法律、法规、规章和规范性文件。开展司法行政调研工作，起草、制订全区司法行政工作规划、年度工作计划并组织实施。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承担区政府规范性文件的审核、发布和报送备案工作。组织清理和修订区政府规范性文件，负责征求意见的法律、法规、规章及规范性文件草案的修改及汇总上报工作，负责区政府规范性文件的解释工作，承担部门之间在法律、法规、规章实施中的争议和问题的协调工作，组织开展区政府规范性文件实施情况的评估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5、承担统筹规划法治社会建设的责任。负责拟订法治宣传教育规划，组织实施普法宣传工作，组织对外法治宣传。指导依法治理和法治创建工作。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6、指导人民调解工作。参与人民陪审员、人民监督员选任管理工作，指导、推进司法所建设。组织指导和参与全区社会矛盾纠纷化解工作，不断完善全区大调解机制。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7、指导、实施全区社区矫正工作。指导刑满释放人员帮教安置工作。负责全区解除强制戒毒人员的后续照管工作。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8、负责拟订公共法律服务体系建设规划并指导实施，统筹和布局城乡、区域法律服务资源。指导监督全区律师、法律援助、公证和基层法律服务管理工作。指导协调全区12348法律服务工作。指导监督全区公职律师、公司律师工作。承担区政府法律顾问职责。</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9、负责本系统服装和警车管理工作，指导监督本系统财务、装备、设施、场所等保障工作。负责本系统的内部审计工作。指导本系统的信息化建设。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10、协调、指导全区法治人才队伍建设相关工作。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11、指导公证处开展地区公证业务。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12、完成区委、区政府交办的其他任务。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hint="eastAsia" w:ascii="仿宋" w:hAnsi="仿宋" w:eastAsia="仿宋" w:cs="仿宋"/>
          <w:lang w:val="en-US" w:eastAsia="zh-CN"/>
        </w:rPr>
        <w:t>1.</w:t>
      </w:r>
      <w:bookmarkStart w:id="0" w:name="_GoBack"/>
      <w:bookmarkEnd w:id="0"/>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法治指导科、行政执法监督科、法治宣传科、行政复议应诉科、人民参与和促进法治科、法律事务科、政治工作科、社区矫正管理局、法律服务管理科、法律援助管理科。栖霞区司法局目前在岗53人，含司法所人员。</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本部门下属单位包括:江苏省南京市栖霞公证处。</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2</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南京市栖霞区司法局（本级），江苏省南京市栖霞公证处。</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统筹谋划法治栖霞建设新格局。坚持以习近平法治思想领航全面依法治区工作。以贯彻实施《法治栖霞建设规划（2021—2025年）》和《栖霞区法治社会建设实施方案（2021—2025年）》为抓手，突破难点重点，全面提升法治栖霞建设水平。不断深化法治政府建设，严格落实重大行政决策程序制度，推动政府法律顾问、公职律师有序参与重大行政决策。推动“两法衔接”信息共享，加大对城市管理、安全生产、食品药品等重点领域规范执法监督力度。持续深化街镇综合执法改革，进一步规范行政执法裁量权。以桦墅村为样板，打造一街一品援法议事典型，提升援法议事覆盖面和知晓率。发挥好法治观察员队伍作用，完善意见建议采纳和反馈机制，引导全社会共同关心、支持、参与法治栖霞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持续推进公共法律服务体系建设。积极运用“互联网+公共法律服务”，提升公共法律服务创新发展能力。扎实开展“八五”普法，加强对青少年、公务员、企业管理人员等重点人群的精准法治教育，提升全民法治观念和法治素养。深化栖事宁人调解品牌创建，积极培育优秀调解组织和明星调解员，不断提升调解员队伍素质，让人民调解在基层社会治理中发挥更大作用。贯彻实施《法律援助法》，深化“家门口”法律援助品牌建设，加大对低保人群、残疾人等特定人群的法律援助力度。拓展“公证驿站”基层服务站点建设，延伸公证发展空间。全年办理公证事项不少于2000件，开展特色公证业务。建立两公律师机构，吸纳优秀人才成为公职（公司）律师。组织律师、公证、调解等力量深入园区开展企业法治体检，为企业排忧解难，营造法治化营商环境。</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强化矫正监管,精准帮扶帮教。围绕“保障社区矫正刑事执行活动依法正确实施，促进社区矫正对象顺利融入社会，预防和减少犯罪”的总目标，将社区矫正融入社会治理体系，深入贯彻《社区矫正法》，持续规范社区矫正公益活动形式，促使社区矫正对象不断修复社会关系，顺利回归融入社会。全面推行村（居）民委员会协助开展社区矫正工作，整合社区资源对社区矫正对象进行监督管理和教育帮扶。以申报全省智慧矫正示范中心为契机，提升社区矫正信息化建设水平，实现社区矫正工作可持续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全面加强自身建设。认真落实全面从严治党主体责任，按照惩防并举、注重预防的方针，以加强教育为基础,以制度建设为核心，完善党建工作和党风廉政建设工作机制。抓严意识形态工作，打造法治、廉政、党建文化阵地。加强干部队伍建设，组织深入学习习近平新时代中国特色社会主义思想、习近平法治思想，提升干部队伍干事创业的能力和水平，努力建设一支政治素质过硬、业务素质精良的司法行政队伍。</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南京市栖霞区司法局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南京市栖霞区司法局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2,678.27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2,199.41</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214.84</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693.70</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2,893.11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2,893.11</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2,893.11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2,893.11</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67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675"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675"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南京市栖霞区司法局</w:t>
            </w:r>
          </w:p>
        </w:tc>
        <w:tc>
          <w:tcPr>
            <w:tcW w:w="468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68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2,893.11</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2,893.11</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2,678.27</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214.84</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315</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南京市栖霞区司法局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2,893.11</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2,893.11</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2,678.27</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214.84</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315001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南京市栖霞区司法局（机关）</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2,678.27</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2,678.27</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2,678.27</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315002</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江苏省南京市栖霞公证处</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214.84</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214.84</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214.84</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8"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南京市栖霞区司法局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2,893.11</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2,359.21</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533.90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公共安全支出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2,199.41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1,665.51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533.90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20406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司法</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2,199.41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1,665.51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533.90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2040601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1,508.09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1,508.09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2040604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基层司法业务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83.90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83.90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2040605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普法宣传</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2040606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律师管理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2040607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公共法律服务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2040610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社区矫正</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2040612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法治建设</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2040699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其他司法支出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277.42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157.42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693.70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693.70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693.70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693.70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220.90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220.90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472.80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472.80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9"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南京市栖霞区司法局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2,678.27</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2,678.27</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2,678.27</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2,011.99</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666.28</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2,678.27</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2,678.27</w:t>
            </w:r>
          </w:p>
        </w:tc>
      </w:tr>
    </w:tbl>
    <w:p>
      <w:pPr>
        <w:rPr>
          <w:rFonts w:hint="eastAsia" w:ascii="仿宋" w:hAnsi="仿宋" w:eastAsia="仿宋" w:cs="仿宋"/>
          <w:b/>
          <w:bCs/>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南京市栖霞区司法局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2,678.27</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2,174.37</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2,047.45</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126.92</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503.90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公共安全支出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2,011.99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1,508.09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1,381.17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126.92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503.90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20406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司法</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2,011.99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1,508.09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1,381.17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126.92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503.90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2040601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1,508.09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1,508.09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1,381.17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126.92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2040604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基层司法业务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83.90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83.90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2040605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普法宣传</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2040606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律师管理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2040607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公共法律服务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2040610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社区矫正</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2040612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法治建设</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2040699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其他司法支出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666.28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666.28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666.28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666.28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666.28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666.28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212.24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212.24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212.24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454.04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454.04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454.04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南京市栖霞区司法局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2,174.37</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2,047.45</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126.92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1,961.61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1,961.61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225.95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225.95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1,006.31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1,006.31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87.90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113.82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113.82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56.91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56.91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69.72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212.24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126.92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33.26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85.84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79.04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79.04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2"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南京市栖霞区司法局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2,678.27</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2,174.37</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2,047.45</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126.92</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公共安全支出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2,011.99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1,508.09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1,381.17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126.92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20406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司法</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2,011.99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1,508.09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1,381.17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126.92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2040601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1,508.09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1,508.09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1,381.17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126.92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2040604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基层司法业务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83.90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2040605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普法宣传</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2040606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律师管理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2040607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公共法律服务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2040610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社区矫正</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2040612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法治建设</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2040699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其他司法支出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666.28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666.28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666.28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666.28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666.28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666.28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212.24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212.24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212.24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454.04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454.04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454.04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3"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南京市栖霞区司法局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2,174.37</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2,047.45</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126.92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1,961.61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1,961.61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225.95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225.95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1,006.31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1,006.31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87.90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87.90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113.82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113.82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56.91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56.91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69.72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69.72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212.24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126.92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126.92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33.26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33.26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85.84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79.04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79.04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南京市栖霞区司法局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5"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南京市栖霞区司法局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6"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南京市栖霞区司法局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南京市栖霞区司法局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126.92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126.92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33.26</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15.90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公务用车运行维护费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47.68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7.88</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7"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南京市栖霞区司法局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bl>
    <w:p>
      <w:pPr>
        <w:numPr>
          <w:ilvl w:val="0"/>
          <w:numId w:val="0"/>
        </w:numPr>
        <w:bidi w:val="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cs="仿宋" w:eastAsia="仿宋"/>
          <w:b w:val="true"/>
          <w:sz w:val="22"/>
        </w:rPr>
        <w:t>部门</w:t>
      </w:r>
      <w:r>
        <w:rPr>
          <w:rFonts w:ascii="仿宋" w:hAnsi="仿宋" w:cs="仿宋" w:eastAsia="仿宋"/>
          <w:b w:val="true"/>
          <w:sz w:val="22"/>
        </w:rPr>
        <w:t>无政府采购支出，故本表无数据。</w:t>
      </w:r>
      <w:r>
        <w:rPr>
          <w:rFonts w:hint="eastAsia" w:ascii="仿宋" w:hAnsi="仿宋" w:eastAsia="仿宋" w:cs="仿宋"/>
          <w:b/>
          <w:bCs/>
          <w:sz w:val="22"/>
          <w:szCs w:val="22"/>
        </w:rPr>
        <w:t/>
      </w:r>
    </w:p>
    <w:p>
      <w:pPr>
        <w:bidi w:val="0"/>
        <w:rPr>
          <w:rFonts w:hint="eastAsia" w:ascii="仿宋" w:hAnsi="仿宋" w:eastAsia="仿宋" w:cs="仿宋"/>
          <w:b/>
          <w:bCs/>
          <w:sz w:val="22"/>
          <w:szCs w:val="22"/>
        </w:rPr>
        <w:sectPr>
          <w:footerReference r:id="rId18"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南京市栖霞区司法局2022年度收入、支出预算总计2,893.11万元，与上年相比收、支预算总计各增加661.92万元，增长29.67%。</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（一）收入预算总计2,893.11万元。包括：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1．本年收入合计2,893.11万元。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（1）一般公共预算拨款收入2,678.27万元，与上年相比增加792.12万元，增长42%。主要原因是司法所人员转隶，人员增加。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（9）其他收入214.84万元，与上年相比减少130.2万元，减少37.73%。主要原因是调整预算经费途径。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（二）支出预算总计2,893.11万元。包括：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1．本年支出合计2,893.11万元。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（1）公共安全支出（类）支出2,199.41万元，主要用于区司法局机关和江苏省南京市栖霞公证处运转经费和项目支出。与上年相比增加438.74万元，增长24.92%。主要原因是司法所人员转隶，人员增加。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（2）住房保障支出（类）支出693.7万元，主要用于住房公积金、住房补贴等支出。与上年相比增加223.18万元，增长47.43%。主要原因是司法所人员转隶，人员增加。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南京市栖霞区司法局2022年收入预算合计2,893.11万元，包括本年收入2,893.11万元，上年结转结余0万元。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本年一般公共预算收入2,678.27万元，占92.57%；</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本年其他收入214.84万元，占7.43%；</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南京市栖霞区司法局2022年支出预算合计2,893.11万元，其中：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基本支出2,359.21万元，占81.55%；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项目支出533.9万元，占18.45%；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南京市栖霞区司法局2022年度财政拨款收、支总预算2,678.27万元。与上年相比，财政拨款收、支总计各增加792.12万元，增长42%。主要原因是司法所人员转隶，人员增加。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南京市栖霞区司法局2022年财政拨款预算支出2,678.27万元，占本年支出合计的92.57%。与上年相比，财政拨款支出增加792.12万元，增长42%。主要原因是司法所人员转隶，人员增加。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（一）公共安全支出（类）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1.司法（款）行政运行（项）支出1,508.09万元，与上年相比增加468.94万元，增长45.13%。主要原因是司法所人员转隶，人员增加。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2.司法（款）基层司法业务（项）支出83.9万元，与上年相比减少90万元，减少51.75%。主要原因是项目口径调整。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3.司法（款）普法宣传（项）支出70万元，与上年预算数相同。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4.司法（款）律师管理（项）支出40万元，与上年相比增加40万元（去年预算数为0万元，无法计算增减比率）。主要原因是项目口径调整。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5.司法（款）公共法律服务（项）支出70万元，与上年预算数相同。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6.司法（款）社区矫正（项）支出50万元，与上年相比增加30万元，增长150%。主要原因是项目口径调整。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7.司法（款）法治建设（项）支出100万元，与上年相比增加100万元（去年预算数为0万元，无法计算增减比率）。主要原因是项目口径调整。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8.司法（款）其他司法支出（项）支出90万元，与上年相比增加20万元，增长28.57%。主要原因是项目口径调整。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1.住房改革支出（款）住房公积金（项）支出212.24万元，与上年相比增加70.43万元，增长49.67%。主要原因是司法所人员转隶，人员增加。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2.住房改革支出（款）购房补贴（项）支出454.04万元，与上年相比增加152.75万元，增长50.7%。主要原因是司法所人员转隶，人员增加。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南京市栖霞区司法局2022年度财政拨款基本支出预算2,174.37万元，其中：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2,047.45万元。主要包括：基本工资、津贴补贴、奖金、伙食补助费、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（二）公用经费126.92万元。主要包括：办公费、水费、电费、邮电费、差旅费、会议费、培训费、公务接待费、工会经费、公务用车运行维护费、其他交通费用、其他商品和服务支出。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南京市栖霞区司法局2022年一般公共预算财政拨款支出预算2,678.27万元，与上年相比增加792.12万元，增长42%。主要原因是司法所人员转隶，人员增加。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南京市栖霞区司法局2022年度一般公共预算财政拨款基本支出预算2,174.37万元，其中：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2,047.45万元。主要包括：基本工资、津贴补贴、奖金、伙食补助费、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（二）公用经费126.92万元。主要包括：办公费、水费、电费、邮电费、差旅费、会议费、培训费、公务接待费、工会经费、公务用车运行维护费、其他交通费用、其他商品和服务支出。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司法局2022年度一般公共预算拨款安排的“三公”经费预算支出中，因公出国（境）费支出0万元，占“三公”经费的0%；公务用车购置及运行维护费支出6.4万元，占“三公”经费的51.61%；公务接待费支出6万元，占“三公”经费的48.39%。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2．公务用车购置及运行维护费预算支出6.4万元。其中：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（2）公务用车运行维护费预算支出6.4万元，比上年预算增加1.5万元，主要原因是车辆使用年限达10年，增加维修支出。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3．公务接待费预算支出6万元，比上年预算减少1.46万元，主要原因是厉行节约。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南京市栖霞区司法局2022年度一般公共预算拨款安排的会议费预算支出8.5万元，比上年预算减少3.44万元，主要原因是按疫情防控要求，减少会议。</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南京市栖霞区司法局2022年度一般公共预算拨款安排的培训费预算支出12万元，比上年预算减少0.78万元，主要原因是按疫情防控要求，减少培训。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南京市栖霞区司法局2022年政府性基金支出预算支出0万元。与上年预算数相同。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南京市栖霞区司法局2022年国有资本经营预算支出0万元。与上年预算数相同。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2022年本部门一般公共预算机关运行经费预算支出126.92万元。与上年相比增加46.48万元，增长57.78%。主要原因是司法所人员转隶，人员增加。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2022年度政府采购支出预算总额0万元，其中：拟采购货物支出0万元、拟采购工程支出0万元、拟购买服务支出0万元。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1辆，其中，一般公务用车0辆、执法执勤用车1辆、特种专业技术用车0辆、业务用车0辆、其他用车0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2022年度，本部门整体支出纳入绩效目标管理，涉及四本预算资金2,893.11万元；本部门共2个项目纳入绩效目标管理，涉及四本预算资金合计533.9万元，占四本预算资金(基本支出除外)总额的比例为100%。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八、公共安全支出(类)司法(款)行政运行(项)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九、公共安全支出(类)司法(款)基层司法业务(项)</w:t>
      </w:r>
      <w:r>
        <w:rPr>
          <w:rFonts w:ascii="仿宋" w:hAnsi="仿宋" w:cs="仿宋" w:eastAsia="仿宋"/>
          <w:b w:val="true"/>
        </w:rPr>
        <w:t>：</w:t>
      </w:r>
      <w:r>
        <w:rPr>
          <w:rFonts w:hint="eastAsia" w:ascii="仿宋" w:hAnsi="仿宋" w:eastAsia="仿宋" w:cs="仿宋"/>
        </w:rPr>
        <w:t>反映各级司法行政部门用于基层业务的支出，包括基层工作指导费、调解费、安置帮教费、司法所经费和公共法律服务平台相关支出、人民陪审员选任管理费用、人民监督员选任管理费用等支出。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十、公共安全支出(类)司法(款)普法宣传(项)</w:t>
      </w:r>
      <w:r>
        <w:rPr>
          <w:rFonts w:ascii="仿宋" w:hAnsi="仿宋" w:cs="仿宋" w:eastAsia="仿宋"/>
          <w:b w:val="true"/>
        </w:rPr>
        <w:t>：</w:t>
      </w:r>
      <w:r>
        <w:rPr>
          <w:rFonts w:hint="eastAsia" w:ascii="仿宋" w:hAnsi="仿宋" w:eastAsia="仿宋" w:cs="仿宋"/>
        </w:rPr>
        <w:t>反映各级司法行政部门用于组织各种媒体的宣传、普法装备与设施、宣传资料、对外宣传、法制作品的审读评审等方面的支出。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十一、公共安全支出(类)司法(款)律师管理(项)</w:t>
      </w:r>
      <w:r>
        <w:rPr>
          <w:rFonts w:ascii="仿宋" w:hAnsi="仿宋" w:cs="仿宋" w:eastAsia="仿宋"/>
          <w:b w:val="true"/>
        </w:rPr>
        <w:t>：</w:t>
      </w:r>
      <w:r>
        <w:rPr>
          <w:rFonts w:hint="eastAsia" w:ascii="仿宋" w:hAnsi="仿宋" w:eastAsia="仿宋" w:cs="仿宋"/>
        </w:rPr>
        <w:t>反映司法行政部门用于律师管理和法律顾问的相关支出。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十二、公共安全支出(类)司法(款)公共法律服务(项)</w:t>
      </w:r>
      <w:r>
        <w:rPr>
          <w:rFonts w:ascii="仿宋" w:hAnsi="仿宋" w:cs="仿宋" w:eastAsia="仿宋"/>
          <w:b w:val="true"/>
        </w:rPr>
        <w:t>：</w:t>
      </w:r>
      <w:r>
        <w:rPr>
          <w:rFonts w:hint="eastAsia" w:ascii="仿宋" w:hAnsi="仿宋" w:eastAsia="仿宋" w:cs="仿宋"/>
        </w:rPr>
        <w:t>反映司法行政部门用于法律援助、司法鉴定、公证、仲裁等公共法律服务工作的相关支出。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十三、公共安全支出(类)司法(款)社区矫正(项)</w:t>
      </w:r>
      <w:r>
        <w:rPr>
          <w:rFonts w:ascii="仿宋" w:hAnsi="仿宋" w:cs="仿宋" w:eastAsia="仿宋"/>
          <w:b w:val="true"/>
        </w:rPr>
        <w:t>：</w:t>
      </w:r>
      <w:r>
        <w:rPr>
          <w:rFonts w:hint="eastAsia" w:ascii="仿宋" w:hAnsi="仿宋" w:eastAsia="仿宋" w:cs="仿宋"/>
        </w:rPr>
        <w:t>反映司法行政部门用于社区矫正的相关支出。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十四、公共安全支出(类)司法(款)法治建设(项)</w:t>
      </w:r>
      <w:r>
        <w:rPr>
          <w:rFonts w:ascii="仿宋" w:hAnsi="仿宋" w:cs="仿宋" w:eastAsia="仿宋"/>
          <w:b w:val="true"/>
        </w:rPr>
        <w:t>：</w:t>
      </w:r>
      <w:r>
        <w:rPr>
          <w:rFonts w:hint="eastAsia" w:ascii="仿宋" w:hAnsi="仿宋" w:eastAsia="仿宋" w:cs="仿宋"/>
        </w:rPr>
        <w:t>反映全面依法治国相关工作和行政立法、执法监督、行政复议等方面的支出。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十五、公共安全支出(类)司法(款)其他司法支出(项)</w:t>
      </w:r>
      <w:r>
        <w:rPr>
          <w:rFonts w:ascii="仿宋" w:hAnsi="仿宋" w:cs="仿宋" w:eastAsia="仿宋"/>
          <w:b w:val="true"/>
        </w:rPr>
        <w:t>：</w:t>
      </w:r>
      <w:r>
        <w:rPr>
          <w:rFonts w:hint="eastAsia" w:ascii="仿宋" w:hAnsi="仿宋" w:eastAsia="仿宋" w:cs="仿宋"/>
        </w:rPr>
        <w:t>反映除上述项目以外其他用于司法方面的支出。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南京市栖霞区司法局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42034"/>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footer14.xml" Type="http://schemas.openxmlformats.org/officeDocument/2006/relationships/footer"/><Relationship Id="rId19" Target="footer15.xml" Type="http://schemas.openxmlformats.org/officeDocument/2006/relationships/footer"/><Relationship Id="rId2" Target="settings.xml" Type="http://schemas.openxmlformats.org/officeDocument/2006/relationships/settings"/><Relationship Id="rId20" Target="theme/theme1.xml" Type="http://schemas.openxmlformats.org/officeDocument/2006/relationships/theme"/><Relationship Id="rId21" Target="../customXml/item1.xml" Type="http://schemas.openxmlformats.org/officeDocument/2006/relationships/customXml"/><Relationship Id="rId22" Target="fontTable.xml" Type="http://schemas.openxmlformats.org/officeDocument/2006/relationships/fontTable"/><Relationship Id="rId23" Target="media/image1.jpeg" Type="http://schemas.openxmlformats.org/officeDocument/2006/relationships/image"/><Relationship Id="rId24"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0</TotalTime>
  <ScaleCrop>false</ScaleCrop>
  <LinksUpToDate>false</LinksUpToDate>
  <CharactersWithSpaces>7399</CharactersWithSpaces>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XC</cp:lastModifiedBy>
  <dcterms:modified xsi:type="dcterms:W3CDTF">2022-02-25T04:14:31Z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2052-11.1.0.10314</vt:lpwstr>
  </property>
  <property fmtid="{D5CDD505-2E9C-101B-9397-08002B2CF9AE}" pid="6" name="LastSaved">
    <vt:filetime>2021-04-15T00:00:00Z</vt:filetime>
  </property>
</Properties>
</file>