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xml:space="preserve">2022年度</w:t>
              <w:br w:type="textWrapping"/>
              <w:t/>
            </w:r>
            <w:r>
              <w:rPr>
                <w:rFonts w:ascii="宋体" w:hAnsi="宋体" w:cs="宋体" w:eastAsia="宋体"/>
                <w:b w:val="true"/>
                <w:sz w:val="52"/>
              </w:rPr>
              <w:t>南京市栖霞区人民政府办公室</w:t>
            </w:r>
            <w:r>
              <w:rPr>
                <w:rFonts w:ascii="宋体" w:hAnsi="宋体" w:cs="宋体" w:eastAsia="宋体"/>
                <w:b w:val="true"/>
                <w:sz w:val="52"/>
              </w:rPr>
              <w:t xml:space="preserve"></w:t>
              <w:br w:type="textWrapping"/>
              <w:t>部门预算公开</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70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部门</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部门</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2022</w:t>
      </w:r>
      <w:r>
        <w:rPr>
          <w:rFonts w:hint="eastAsia" w:ascii="仿宋" w:hAnsi="仿宋" w:eastAsia="仿宋" w:cs="仿宋"/>
        </w:rPr>
        <w:t>年度</w:t>
      </w:r>
      <w:r>
        <w:rPr>
          <w:rFonts w:hint="eastAsia" w:ascii="仿宋" w:hAnsi="仿宋" w:eastAsia="仿宋" w:cs="仿宋"/>
          <w:lang w:val="en-US" w:eastAsia="zh-CN"/>
        </w:rPr>
        <w:t>部门</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lang w:val="en-US" w:eastAsia="zh-CN"/>
        </w:rPr>
        <w:t>年度</w:t>
      </w:r>
      <w:r>
        <w:rPr>
          <w:rFonts w:ascii="仿宋" w:hAnsi="仿宋" w:cs="仿宋" w:eastAsia="仿宋"/>
          <w:b w:val="true"/>
        </w:rPr>
        <w:t>部门</w:t>
      </w:r>
      <w:r>
        <w:rPr>
          <w:rFonts w:ascii="仿宋" w:hAnsi="仿宋" w:cs="仿宋" w:eastAsia="仿宋"/>
          <w:b w:val="true"/>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w:t>
      </w:r>
      <w:r>
        <w:rPr>
          <w:rFonts w:hint="eastAsia" w:ascii="仿宋" w:hAnsi="仿宋" w:eastAsia="仿宋" w:cs="仿宋"/>
          <w:lang w:val="en-US" w:eastAsia="zh-CN"/>
        </w:rPr>
        <w:t>预算</w:t>
      </w:r>
      <w:r>
        <w:rPr>
          <w:rFonts w:hint="eastAsia" w:ascii="仿宋" w:hAnsi="仿宋" w:eastAsia="仿宋" w:cs="仿宋"/>
        </w:rPr>
        <w:t>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部门</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70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部门</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区人民政府办公室负责贯彻落实中央关于外事、政府政策研究工作的方针政策和省委、市委、区委的决策部署，在履行职责过程中坚持和加强党对外事、政府政策研究等工作的集中统一领导。主要职责是：</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（一）按照区政府要求，抓好党中央、国务院，省委、省政府，市委、市政府，区委、区政府重大决策部署的贯彻落实。</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（二）承担区政府日常工作的正常运转和政府重要会议、重大活动的组织协调工作，协助区政府领导同志组织实施会议议定事项。</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（三）协助区政府领导同志组织起草或审核以区政府、区政府办公室名义发布的公文，起草区政府各类汇报材料、领导同志讲话稿和其他文稿。</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（四）负责组织落实区政府值班工作，及时报告重要情况和突发事件信息，传达和督促落实区政府领导同志的批示指示。</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（五）办理上级机关及有关单位发送区政府的公文。研究区政府各部门、各直属单位和各街道办事处请示区政府的事项，提出审核处理意见，报区政府领导同志审批。</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（六）督促检查区政府各部门、各直属单位和各街道办事处对上级文件、指示要求、工作部署及区委、区政府决定事项、区政府领导同志指示精神的贯彻落实情况，及时向区政府领导同志报告。</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（七）负责省、市和区人大、政协交区政府的有关建议和提案的办理工作。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（八）负责全区因公出国（境）的统一管理、协调服务和监督工作。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（九）归口管理和统筹协调全区涉外事务，做好外事礼宾接待指导工作，强化各领域对外交流交往，推进区域国际化进程。</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（十）负责组织全区改革开放、经济社会发展、法律法规实施重大问题的调查研究与决策咨询，提出政策性建议和咨询意见。</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（十一）负责收集编写信息，反映基层动态，并及时向省、市政府办公厅报送。</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（十二）负责政府门户网站管理和推进、指导、协调、监督全区政务公开、政府信息公开工作。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（十三）负责全区党政机关公务用车、办公用房、公共机构节能的统筹管理工作。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（十四）负责区政府各办公区及重要会议、大型活动的后勤保障工作。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（十五）负责区政府机关食堂的日常管理和膳食保障工作。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（十六）完成区委、区政府交办的其他任务。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部门</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1.</w:t>
      </w:r>
      <w:r>
        <w:rPr>
          <w:rFonts w:hint="eastAsia" w:ascii="仿宋" w:hAnsi="仿宋" w:eastAsia="仿宋" w:cs="仿宋"/>
        </w:rPr>
        <w:t>根据</w:t>
      </w:r>
      <w:r>
        <w:rPr>
          <w:rFonts w:hint="eastAsia" w:ascii="仿宋" w:hAnsi="仿宋" w:eastAsia="仿宋" w:cs="仿宋"/>
          <w:lang w:val="en-US" w:eastAsia="zh-CN"/>
        </w:rPr>
        <w:t>部门</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本部门内设机构包括：</w:t>
      </w:r>
      <w:r>
        <w:rPr>
          <w:rFonts w:ascii="仿宋" w:hAnsi="仿宋" w:cs="仿宋" w:eastAsia="仿宋"/>
        </w:rPr>
        <w:t/>
      </w:r>
      <w:r>
        <w:rPr>
          <w:rFonts w:ascii="仿宋" w:hAnsi="仿宋" w:cs="仿宋" w:eastAsia="仿宋"/>
        </w:rPr>
        <w:t/>
      </w:r>
      <w:r>
        <w:rPr>
          <w:rFonts w:ascii="仿宋" w:hAnsi="仿宋" w:cs="仿宋" w:eastAsia="仿宋"/>
        </w:rPr>
        <w:t>综合协调科、机要秘书科、政务督查科、外事管理科、涉外服务科、政务信息科、综合调研科、公务联络科、财务管理科、电子政务科、机关事务管理科、机关事务服务科、后勤保障科。</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本部门下属单位包括:南京市栖霞区区级机关事务管理服务中心。</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2.</w:t>
      </w:r>
      <w:r>
        <w:rPr>
          <w:rFonts w:hint="eastAsia" w:ascii="仿宋" w:hAnsi="仿宋" w:eastAsia="仿宋" w:cs="仿宋"/>
        </w:rPr>
        <w:t>从</w:t>
      </w:r>
      <w:r>
        <w:rPr>
          <w:rFonts w:hint="eastAsia" w:ascii="仿宋" w:hAnsi="仿宋" w:eastAsia="仿宋" w:cs="仿宋"/>
          <w:lang w:eastAsia="zh-CN"/>
        </w:rPr>
        <w:t>预算</w:t>
      </w:r>
      <w:r>
        <w:rPr>
          <w:rFonts w:hint="eastAsia" w:ascii="仿宋" w:hAnsi="仿宋" w:eastAsia="仿宋" w:cs="仿宋"/>
        </w:rPr>
        <w:t>单位构成看，纳入本</w:t>
      </w:r>
      <w:r>
        <w:rPr>
          <w:rFonts w:hint="eastAsia" w:ascii="仿宋" w:hAnsi="仿宋" w:eastAsia="仿宋" w:cs="仿宋"/>
          <w:lang w:val="en-US" w:eastAsia="zh-CN"/>
        </w:rPr>
        <w:t>部门</w:t>
      </w:r>
      <w:r>
        <w:rPr>
          <w:rFonts w:hint="eastAsia" w:ascii="仿宋" w:hAnsi="仿宋" w:eastAsia="仿宋" w:cs="仿宋"/>
          <w:lang w:eastAsia="zh-CN"/>
        </w:rPr>
        <w:t>2022</w:t>
      </w:r>
      <w:r>
        <w:rPr>
          <w:rFonts w:hint="eastAsia" w:ascii="仿宋" w:hAnsi="仿宋" w:eastAsia="仿宋" w:cs="仿宋"/>
        </w:rPr>
        <w:t>年</w:t>
      </w:r>
      <w:r>
        <w:rPr>
          <w:rFonts w:hint="eastAsia" w:ascii="仿宋" w:hAnsi="仿宋" w:eastAsia="仿宋" w:cs="仿宋"/>
          <w:lang w:val="en-US" w:eastAsia="zh-CN"/>
        </w:rPr>
        <w:t>部门</w:t>
      </w:r>
      <w:r>
        <w:rPr>
          <w:rFonts w:hint="eastAsia" w:ascii="仿宋" w:hAnsi="仿宋" w:eastAsia="仿宋" w:cs="仿宋"/>
        </w:rPr>
        <w:t>汇总</w:t>
      </w:r>
      <w:r>
        <w:rPr>
          <w:rFonts w:hint="eastAsia" w:ascii="仿宋" w:hAnsi="仿宋" w:eastAsia="仿宋" w:cs="仿宋"/>
          <w:lang w:eastAsia="zh-CN"/>
        </w:rPr>
        <w:t>预算</w:t>
      </w:r>
      <w:r>
        <w:rPr>
          <w:rFonts w:hint="eastAsia" w:ascii="仿宋" w:hAnsi="仿宋" w:eastAsia="仿宋" w:cs="仿宋"/>
        </w:rPr>
        <w:t>编制范围的预算单位共计</w:t>
      </w:r>
      <w:r>
        <w:rPr>
          <w:rFonts w:hint="eastAsia" w:ascii="仿宋" w:hAnsi="仿宋" w:eastAsia="仿宋" w:cs="仿宋"/>
          <w:lang w:val="en-US"/>
        </w:rPr>
        <w:t/>
      </w:r>
      <w:r>
        <w:rPr>
          <w:rFonts w:ascii="仿宋" w:hAnsi="仿宋" w:cs="仿宋" w:eastAsia="仿宋"/>
        </w:rPr>
        <w:t/>
      </w:r>
      <w:r>
        <w:rPr>
          <w:rFonts w:ascii="仿宋" w:hAnsi="仿宋" w:cs="仿宋" w:eastAsia="仿宋"/>
        </w:rPr>
        <w:t>2</w:t>
      </w:r>
      <w:r>
        <w:rPr>
          <w:rFonts w:ascii="仿宋" w:hAnsi="仿宋" w:cs="仿宋" w:eastAsia="仿宋"/>
        </w:rPr>
        <w:t/>
      </w:r>
      <w:r>
        <w:rPr>
          <w:rFonts w:ascii="仿宋" w:hAnsi="仿宋" w:cs="仿宋" w:eastAsia="仿宋"/>
        </w:rPr>
        <w:t/>
      </w:r>
      <w:r>
        <w:rPr>
          <w:rFonts w:hint="eastAsia" w:ascii="仿宋" w:hAnsi="仿宋" w:eastAsia="仿宋" w:cs="仿宋"/>
        </w:rPr>
        <w:t>家，具体包括：</w:t>
      </w:r>
      <w:r>
        <w:rPr>
          <w:rFonts w:hint="eastAsia" w:ascii="仿宋" w:hAnsi="仿宋" w:eastAsia="仿宋" w:cs="仿宋"/>
          <w:lang w:val="en-US"/>
        </w:rPr>
        <w:t/>
      </w:r>
      <w:r>
        <w:rPr>
          <w:rFonts w:ascii="仿宋" w:hAnsi="仿宋" w:cs="仿宋" w:eastAsia="仿宋"/>
        </w:rPr>
        <w:t/>
      </w:r>
      <w:r>
        <w:rPr>
          <w:rFonts w:ascii="仿宋" w:hAnsi="仿宋" w:cs="仿宋" w:eastAsia="仿宋"/>
        </w:rPr>
        <w:t>南京市栖霞区人民政府办公室（本级），南京市栖霞区区级机关事务管理服务中心。</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2022</w:t>
      </w:r>
      <w:r>
        <w:rPr>
          <w:rFonts w:hint="eastAsia" w:ascii="仿宋" w:hAnsi="仿宋" w:eastAsia="仿宋" w:cs="仿宋"/>
          <w:b/>
          <w:bCs/>
        </w:rPr>
        <w:t>年度</w:t>
      </w:r>
      <w:r>
        <w:rPr>
          <w:rFonts w:ascii="仿宋" w:hAnsi="仿宋" w:cs="仿宋" w:eastAsia="仿宋"/>
          <w:b w:val="true"/>
        </w:rPr>
        <w:t>部门</w:t>
      </w:r>
      <w:r>
        <w:rPr>
          <w:rFonts w:ascii="仿宋" w:hAnsi="仿宋" w:cs="仿宋" w:eastAsia="仿宋"/>
          <w:b w:val="true"/>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着力强化统筹协调，服务发展大局。围绕长江经济带发展、三大攻坚战、紫东地区发展等重点工作，注重对上加强联系、对内运行流畅、对外搞好协调、对下做好服务。保障好区委、区政府重大决策、重要活动、重点工程，努力沟通好各方意见、统筹好各方安排，搞好部门、街道、平台间的衔接配合，确保各项决策部署及时跟进、落到实处。</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着力优化内部运转，增强辅政能力。强化政府办内部运行管理的协调，促使全办干部职工心往一处想，劲往一处使，实现办公室内部运转更加科学化、规范化、精细化。严把公文运行各道关口，扎实做好公文办理、制发和管理。严格落实会议议题预审批制度，强化会议统筹整合和议定事项跟踪落实。突出重点、创新手段报送信息，力争全市排名进位。制定年度调研计划，形成调研成果，切实增强辅助政府决策能力。稳步提升涉外管理服务水平，营造良好城市国际化氛围。</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3.着力推行服务改革，提高保障品质。紧紧围绕保障全区党政机关高效运行这一核心目标，进一步优化服务、提高效能、提升品质。用好机关办公用房信息化平台和公务用车智能管理平台，做到规范治理、规范保障。狠抓会务保障、资源综合利用、节能示范单位建设、环境绿化美化和食堂服务保障等工作，推动机关服务内在品质和外在形象同步提升。</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4.着力加强自身建设，凝聚干部队伍。牢固树立全办“一盘棋”思想，形成“想干事、能干事、干成事”的优良作风。坚持党建引领，严格执行全面从严治党各项要求，认真落实党风廉政建设“两个责任”和“一岗双责”。注重干部职工综合素质培养，积极搭建成长平台，引导全体职工牢固树立正确的权力观、地位观、利益观，心存敬畏。强化制度机制建设，坚持用制度管钱、管人、管事，推进各项工作运行的规范化、标准化、精细化。</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南京市栖霞区人民政府办公室</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部门</w:t>
      </w:r>
      <w:r>
        <w:rPr>
          <w:rFonts w:ascii="仿宋" w:hAnsi="仿宋" w:cs="仿宋" w:eastAsia="仿宋"/>
          <w:b w:val="true"/>
          <w:sz w:val="44"/>
        </w:rPr>
        <w:t>预算表</w:t>
      </w:r>
    </w:p>
    <w:tbl>
      <w:tblPr>
        <w:tblStyle w:val="12"/>
        <w:tblW w:w="11331" w:type="dxa"/>
        <w:jc w:val="center"/>
        <w:tblLayout w:type="fixed"/>
        <w:tblCellMar>
          <w:top w:w="0" w:type="dxa"/>
          <w:left w:w="108" w:type="dxa"/>
          <w:bottom w:w="0" w:type="dxa"/>
          <w:right w:w="108" w:type="dxa"/>
        </w:tblCellMar>
      </w:tblPr>
      <w:tblGrid>
        <w:gridCol w:w="3908"/>
        <w:gridCol w:w="1869"/>
        <w:gridCol w:w="3704"/>
        <w:gridCol w:w="67"/>
        <w:gridCol w:w="1781"/>
        <w:gridCol w:w="2"/>
      </w:tblGrid>
      <w:tr>
        <w:tblPrEx>
          <w:tblCellMar>
            <w:top w:w="0" w:type="dxa"/>
            <w:left w:w="108" w:type="dxa"/>
            <w:bottom w:w="0" w:type="dxa"/>
            <w:right w:w="108" w:type="dxa"/>
          </w:tblCellMar>
        </w:tblPrEx>
        <w:trPr>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color w:val="000000"/>
                <w:sz w:val="22"/>
                <w:szCs w:val="22"/>
                <w:lang w:eastAsia="ar-SA"/>
              </w:rPr>
              <w:t>南京市栖霞区人民政府办公室</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7,837.92</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7,183.57</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654.35</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val="0"/>
                <w:bCs w:val="0"/>
                <w:color w:val="000000"/>
                <w:sz w:val="22"/>
                <w:szCs w:val="22"/>
                <w:lang w:eastAsia="ar-SA"/>
              </w:rPr>
              <w:t/>
            </w: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7,837.92</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7,837.92</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val="zh-CN" w:eastAsia="ar-SA"/>
              </w:rPr>
            </w:pPr>
            <w:r>
              <w:rPr>
                <w:rFonts w:hint="eastAsia" w:ascii="仿宋" w:hAnsi="仿宋" w:eastAsia="仿宋" w:cs="仿宋"/>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7,837.92</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支出</w:t>
            </w:r>
            <w:r>
              <w:rPr>
                <w:rFonts w:hint="eastAsia" w:ascii="仿宋" w:hAnsi="仿宋" w:eastAsia="仿宋" w:cs="仿宋"/>
                <w:b/>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7,837.92</w:t>
            </w:r>
          </w:p>
        </w:tc>
        <w:tc>
          <w:tcPr>
            <w:tcW w:w="2" w:type="dxa"/>
          </w:tcPr>
          <w:p>
            <w:pPr>
              <w:widowControl w:val="0"/>
              <w:jc w:val="left"/>
              <w:rPr>
                <w:rFonts w:hint="eastAsia" w:ascii="仿宋" w:hAnsi="仿宋" w:eastAsia="仿宋" w:cs="仿宋"/>
                <w:sz w:val="20"/>
              </w:rPr>
            </w:pP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149" w:type="dxa"/>
        <w:tblInd w:w="-25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097"/>
        <w:gridCol w:w="1800"/>
        <w:gridCol w:w="1063"/>
        <w:gridCol w:w="943"/>
        <w:gridCol w:w="789"/>
        <w:gridCol w:w="754"/>
        <w:gridCol w:w="686"/>
        <w:gridCol w:w="754"/>
        <w:gridCol w:w="754"/>
        <w:gridCol w:w="720"/>
        <w:gridCol w:w="754"/>
        <w:gridCol w:w="738"/>
        <w:gridCol w:w="720"/>
        <w:gridCol w:w="925"/>
        <w:gridCol w:w="772"/>
        <w:gridCol w:w="720"/>
        <w:gridCol w:w="754"/>
        <w:gridCol w:w="686"/>
        <w:gridCol w:w="7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149"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149"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1572"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南京市栖霞区人民政府办公室</w:t>
            </w:r>
          </w:p>
        </w:tc>
        <w:tc>
          <w:tcPr>
            <w:tcW w:w="4577"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097"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代码</w:t>
            </w:r>
          </w:p>
        </w:tc>
        <w:tc>
          <w:tcPr>
            <w:tcW w:w="180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名称</w:t>
            </w:r>
          </w:p>
        </w:tc>
        <w:tc>
          <w:tcPr>
            <w:tcW w:w="1063"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7612"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577"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1097"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063"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897"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7,837.92</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7,837.92</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7,837.92</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434</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南京市栖霞区人民政府办公室</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7,837.92</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7,837.92</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7,837.92</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434001</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南京市栖霞区人民政府办公室（机关）</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6,852.02</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6,852.02</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6,852.02</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434003</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南京市栖霞区区级机关事务管理服务中心</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985.90</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985.90</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985.90</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57" w:right="0" w:firstLine="221" w:firstLineChars="100"/>
        <w:jc w:val="left"/>
        <w:rPr>
          <w:rFonts w:hint="eastAsia" w:ascii="仿宋" w:hAnsi="仿宋" w:eastAsia="仿宋" w:cs="仿宋"/>
          <w:b/>
          <w:bCs/>
          <w:sz w:val="22"/>
          <w:szCs w:val="22"/>
        </w:rPr>
        <w:sectPr>
          <w:footerReference r:id="rId9" w:type="default"/>
          <w:pgSz w:w="16838" w:h="11906" w:orient="landscape"/>
          <w:pgMar w:top="720" w:right="720" w:bottom="720" w:left="5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南京市栖霞区人民政府办公室</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7,837.92</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2,783.12</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5,054.80</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7,183.57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2,128.77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5,054.80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政府办公厅（室）及相关机构事务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7,183.57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2,128.77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5,054.80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2010301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1,387.60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1,387.60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2010399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其他政府办公厅（室）及相关机构事务支出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5,795.97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741.17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5,054.80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654.35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654.35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654.35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654.35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206.64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206.64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447.71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447.71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南京市栖霞区人民政府办公室</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7,837.92</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7,837.92</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7,837.92</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7,183.57</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654.35</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7,837.92</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7,837.92</w:t>
            </w:r>
          </w:p>
        </w:tc>
      </w:tr>
    </w:tbl>
    <w:p>
      <w:pPr>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南京市栖霞区人民政府办公室</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7,837.92</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2,783.12</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2,566.03</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217.09</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5,054.80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7,183.57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2,128.77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1,911.68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217.09</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5,054.80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政府办公厅（室）及相关机构事务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7,183.57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2,128.77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1,911.68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217.09</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5,054.80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2010301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1,387.60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1,387.60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1,180.21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207.39</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2010399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其他政府办公厅（室）及相关机构事务支出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5,795.97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741.17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731.47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9.70</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5,054.80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654.35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654.35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654.35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654.35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654.35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654.35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206.64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206.64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206.64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447.71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447.71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447.71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南京市栖霞区人民政府办公室</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2,783.12</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2,566.03</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217.09</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1,742.79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1,742.79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261.38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261.38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891.57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891.57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84.25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84.25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53.41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53.41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123.77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123.77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61.88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61.88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50.98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50.98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206.64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206.64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217.09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217.09</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33.51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33.51</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16.20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16.20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67.90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67.90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52.96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52.96</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11.64</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223.24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223.24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209.10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209.10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600.00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600.00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39999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600.00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600.00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南京市栖霞区人民政府办公室</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7,837.92</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2,783.12</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2,566.03</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217.09</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5,054.80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7,183.57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2,128.77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1,911.68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217.09</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5,054.80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政府办公厅（室）及相关机构事务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7,183.57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2,128.77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1,911.68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217.09</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5,054.80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2010301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1,387.60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1,387.60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1,180.21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207.39</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2010399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其他政府办公厅（室）及相关机构事务支出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5,795.97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741.17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731.47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9.70</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5,054.80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654.35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654.35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654.35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654.35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654.35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654.35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206.64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206.64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206.64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447.71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447.71</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447.71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南京市栖霞区人民政府办公室</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2,783.12</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2,566.03</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217.09</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1,742.79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1,742.79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261.38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261.38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891.57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891.57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84.25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84.25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53.41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53.41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123.77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123.77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61.88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61.88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50.98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50.98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206.64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206.64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217.09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217.09</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33.51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33.51</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16.20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16.20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67.90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67.90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52.96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52.96</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11.64</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223.24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223.24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209.10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209.10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600.00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600.00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39999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600.00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600.00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南京市栖霞区人民政府办公室</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74.10</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67.90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67.90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6.20</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11.60</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0.48</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南京市栖霞区人民政府办公室</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部门</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南京市栖霞区人民政府办公室</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部门</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南京市栖霞区人民政府办公室</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207.39</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207.39</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办公费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31.89</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邮电费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差旅费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30215</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会议费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公务接待费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30228</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工会经费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14.10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公务用车运行维护费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67.90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其他交通费用</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52.96</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30299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10.54</w:t>
            </w:r>
          </w:p>
        </w:tc>
      </w:tr>
    </w:tbl>
    <w:p>
      <w:pPr>
        <w:numPr>
          <w:ilvl w:val="0"/>
          <w:numId w:val="0"/>
        </w:numPr>
        <w:tabs>
          <w:tab w:val="left" w:pos="0"/>
        </w:tabs>
        <w:spacing w:before="25" w:after="0"/>
        <w:ind w:left="-1" w:left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1320"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08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852"/>
        <w:gridCol w:w="1114"/>
        <w:gridCol w:w="965"/>
        <w:gridCol w:w="928"/>
        <w:gridCol w:w="1141"/>
        <w:gridCol w:w="13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586"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南京市栖霞区人民政府办公室</w:t>
            </w:r>
          </w:p>
        </w:tc>
        <w:tc>
          <w:tcPr>
            <w:tcW w:w="4148"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p>
        </w:tc>
        <w:tc>
          <w:tcPr>
            <w:tcW w:w="1355"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85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148"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355"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355"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r>
    </w:tbl>
    <w:p>
      <w:pPr>
        <w:numPr>
          <w:ilvl w:val="0"/>
          <w:numId w:val="0"/>
        </w:numPr>
        <w:bidi w:val="0"/>
        <w:rPr>
          <w:rFonts w:hint="eastAsia" w:ascii="仿宋" w:hAnsi="仿宋" w:eastAsia="仿宋" w:cs="仿宋"/>
          <w:b/>
          <w:bCs/>
          <w:sz w:val="22"/>
          <w:szCs w:val="22"/>
        </w:rPr>
      </w:pPr>
      <w:r>
        <w:rPr>
          <w:rFonts w:hint="eastAsia" w:ascii="仿宋" w:hAnsi="仿宋" w:eastAsia="仿宋" w:cs="仿宋"/>
          <w:b/>
          <w:bCs/>
          <w:sz w:val="22"/>
          <w:szCs w:val="22"/>
        </w:rPr>
        <w:t/>
      </w:r>
      <w:r>
        <w:rPr>
          <w:rFonts w:hint="eastAsia" w:ascii="仿宋" w:hAnsi="仿宋" w:eastAsia="仿宋" w:cs="仿宋"/>
          <w:b/>
          <w:bCs/>
          <w:sz w:val="22"/>
          <w:szCs w:val="22"/>
        </w:rPr>
        <w:t>注：</w:t>
      </w:r>
      <w:r>
        <w:rPr>
          <w:rFonts w:hint="eastAsia" w:ascii="仿宋" w:hAnsi="仿宋" w:eastAsia="仿宋" w:cs="仿宋"/>
          <w:b/>
          <w:bCs/>
          <w:sz w:val="22"/>
          <w:szCs w:val="22"/>
          <w:lang w:eastAsia="zh-CN"/>
        </w:rPr>
        <w:t>本</w:t>
      </w:r>
      <w:r>
        <w:rPr>
          <w:rFonts w:ascii="仿宋" w:hAnsi="仿宋" w:cs="仿宋" w:eastAsia="仿宋"/>
          <w:b w:val="true"/>
          <w:sz w:val="22"/>
        </w:rPr>
        <w:t>部门</w:t>
      </w:r>
      <w:r>
        <w:rPr>
          <w:rFonts w:ascii="仿宋" w:hAnsi="仿宋" w:cs="仿宋" w:eastAsia="仿宋"/>
          <w:b w:val="true"/>
          <w:sz w:val="22"/>
        </w:rPr>
        <w:t>无政府采购支出，故本表无数据。</w:t>
      </w:r>
      <w:r>
        <w:rPr>
          <w:rFonts w:hint="eastAsia" w:ascii="仿宋" w:hAnsi="仿宋" w:eastAsia="仿宋" w:cs="仿宋"/>
          <w:b/>
          <w:bCs/>
          <w:sz w:val="22"/>
          <w:szCs w:val="22"/>
        </w:rPr>
        <w:t/>
      </w:r>
    </w:p>
    <w:p>
      <w:pPr>
        <w:bidi w:val="0"/>
        <w:rPr>
          <w:rFonts w:hint="eastAsia" w:ascii="仿宋" w:hAnsi="仿宋" w:eastAsia="仿宋" w:cs="仿宋"/>
          <w:b/>
          <w:bCs/>
          <w:sz w:val="22"/>
          <w:szCs w:val="22"/>
        </w:rPr>
        <w:sectPr>
          <w:footerReference r:id="rId19" w:type="default"/>
          <w:pgSz w:w="16838" w:h="11906" w:orient="landscape"/>
          <w:pgMar w:top="1320" w:right="1100"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r>
        <w:rPr>
          <w:rFonts w:ascii="仿宋" w:hAnsi="仿宋" w:cs="仿宋" w:eastAsia="仿宋"/>
          <w:b w:val="true"/>
          <w:sz w:val="44"/>
        </w:rPr>
        <w:t>部门</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南京市栖霞区人民政府办公室2022年度收入、支出预算总计7,837.92万元，与上年相比收、支预算总计各增加641.24万元，增长8.91%。</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（一）收入预算总计7,837.92万元。包括：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1．本年收入合计7,837.92万元。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（1）一般公共预算拨款收入7,837.92万元，与上年相比增加641.24万元，增长8.91%。主要原因是人员待遇正常晋级增加、政务中心大楼租赁费用增加。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（二）支出预算总计7,837.92万元。包括：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1．本年支出合计7,837.92万元。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服务支出（类）支出7,183.57万元，主要用于区政府各集中办公区日常运转保障、政府办公室人员支出等。与上年相比增加638.43万元，增长9.75%。主要原因是人员待遇正常晋级增加、政务中心大楼租赁费用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（2）住房保障支出（类）支出654.35万元，主要用于按规定缴纳住房公积金、发放住房补贴。与上年相比增加2.81万元，增长0.43%。主要原因是住房公积金、住房补贴等政策性调整增加。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南京市栖霞区人民政府办公室2022年收入预算合计7,837.92万元，包括本年收入7,837.92万元，上年结转结余0万元。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本年一般公共预算收入7,837.92万元，占100%；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南京市栖霞区人民政府办公室2022年支出预算合计7,837.92万元，其中：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基本支出2,783.12万元，占35.51%；</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项目支出5,054.8万元，占64.49%；</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5"/>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南京市栖霞区人民政府办公室2022年度财政拨款收、支总预算7,837.92万元。与上年相比，财政拨款收、支总计各增加641.24万元，增长8.91%。主要原因是人员待遇正常晋级增加、政务中心大楼租赁费用增加。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南京市栖霞区人民政府办公室2022年财政拨款预算支出7,837.92万元，占本年支出合计的100%。与上年相比，财政拨款支出增加641.24万元，增长8.91%。主要原因是人员待遇正常晋级增加、政务中心大楼租赁费用增加。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（一）一般公共服务支出（类）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1.政府办公厅（室）及相关机构事务（款）行政运行（项）支出1,387.6万元，与上年相比减少40.34万元，减少2.83%。主要原因是厉行节约、压缩开支。</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办公厅（室）及相关机构事务（款）其他政府办公厅（室）及相关机构事务支出（项）支出5,795.97万元，与上年相比增加2,437.77万元，增长72.59%。主要原因是人员待遇正常晋级增加、政务中心大楼租赁费用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1.住房改革支出（款）住房公积金（项）支出206.64万元，与上年相比增加0.89万元，增长0.43%。主要原因是政策性调整增加。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2.住房改革支出（款）购房补贴（项）支出447.71万元，与上年相比增加1.92万元，增长0.43%。主要原因是政策性调整增加。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南京市栖霞区人民政府办公室2022年度财政拨款基本支出预算2,783.12万元，其中：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2,566.03万元。主要包括：基本工资、津贴补贴、奖金、伙食补助费、绩效工资、机关事业单位基本养老保险缴费、职业年金缴费、职工基本医疗保险缴费、其他社会保障缴费、住房公积金、退休费、生活补助、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（二）公用经费217.09万元。主要包括：办公费、邮电费、差旅费、会议费、培训费、公务接待费、工会经费、公务用车运行维护费、其他交通费用、其他商品和服务支出。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南京市栖霞区人民政府办公室2022年一般公共预算财政拨款支出预算7,837.92万元，与上年相比增加641.24万元，增长8.91%。主要原因是人员待遇正常晋级增加、政务中心大楼租赁费用增加。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南京市栖霞区人民政府办公室2022年度一般公共预算财政拨款基本支出预算2,783.12万元，其中：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2,566.03万元。主要包括：基本工资、津贴补贴、奖金、伙食补助费、绩效工资、机关事业单位基本养老保险缴费、职业年金缴费、职工基本医疗保险缴费、其他社会保障缴费、住房公积金、退休费、生活补助、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（二）公用经费217.09万元。主要包括：办公费、邮电费、差旅费、会议费、培训费、公务接待费、工会经费、公务用车运行维护费、其他交通费用、其他商品和服务支出。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人民政府办公室2022年度一般公共预算拨款安排的“三公”经费预算支出中，因公出国（境）费支出0万元，占“三公”经费的0%；公务用车购置及运行维护费支出67.9万元，占“三公”经费的91.63%；公务接待费支出6.2万元，占“三公”经费的8.37%。具体情况如下：</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2．公务用车购置及运行维护费预算支出67.9万元。其中：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（2）公务用车运行维护费预算支出67.9万元，比上年预算增加2万元，主要原因是车辆老化，维护费用增加。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3．公务接待费预算支出6.2万元，比上年预算减少0.55万元，主要原因是厉行节约、压缩开支。</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南京市栖霞区人民政府办公室2022年度一般公共预算拨款安排的会议费预算支出11.6万元，比上年预算减少3.4万元，主要原因是控制会议开支。</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南京市栖霞区人民政府办公室2022年度一般公共预算拨款安排的培训费预算支出0.48万元，比上年预算减少9.52万元，主要原因是厉行节约、压缩开支。</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南京市栖霞区人民政府办公室2022年政府性基金支出预算支出0万元。与上年预算数相同。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南京市栖霞区人民政府办公室2022年国有资本经营预算支出0万元。与上年预算数相同。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2022年本部门一般公共预算机关运行经费预算支出207.39万元。与上年相比减少1.18万元，减少0.57%。主要原因是厉行节约、压缩开支。</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2022年度政府采购支出预算总额0万元，其中：拟采购货物支出0万元、拟采购工程支出0万元、拟购买服务支出0万元。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部门共有车辆21辆，其中，一般公务用车17辆、执法执勤用车0辆、特种专业技术用车0辆、业务用车0辆、其他用车4辆等。单价50万元（含）以上的通用设备0台（套），单价100万元（含）以上的专用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2022年度，本部门整体支出纳入绩效目标管理，涉及四本预算资金7,837.92万元；本部门共4个项目纳入绩效目标管理，涉及四本预算资金合计5,054.8万元，占四本预算资金(基本支出除外)总额的比例为100%。</w:t>
      </w:r>
      <w:r>
        <w:rPr>
          <w:rFonts w:ascii="仿宋" w:hAnsi="仿宋" w:cs="仿宋" w:eastAsia="仿宋"/>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八、一般公共服务支出(类)政府办公厅（室）及相关机构事务(款)行政运行(项)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九、一般公共服务支出(类)政府办公厅（室）及相关机构事务(款)其他政府办公厅（室）及相关机构事务支出(项)</w:t>
      </w:r>
      <w:r>
        <w:rPr>
          <w:rFonts w:ascii="仿宋" w:hAnsi="仿宋" w:cs="仿宋" w:eastAsia="仿宋"/>
          <w:b w:val="true"/>
        </w:rPr>
        <w:t>：</w:t>
      </w:r>
      <w:r>
        <w:rPr>
          <w:rFonts w:hint="eastAsia" w:ascii="仿宋" w:hAnsi="仿宋" w:eastAsia="仿宋" w:cs="仿宋"/>
        </w:rPr>
        <w:t>反映除上述项目以外的其他政府办公厅（室）及相关机构事务支出。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9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南京市栖霞区人民政府办公室</w:t>
    </w:r>
    <w:r>
      <w:t>2022</w:t>
    </w:r>
    <w:r>
      <w:t>年度</w:t>
    </w:r>
    <w:r>
      <w:t>部门</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B339C"/>
    <w:rsid w:val="05FE3016"/>
    <w:rsid w:val="06006806"/>
    <w:rsid w:val="0603001C"/>
    <w:rsid w:val="060D1C4C"/>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201C61"/>
    <w:rsid w:val="10223EE6"/>
    <w:rsid w:val="1027035F"/>
    <w:rsid w:val="102A69EF"/>
    <w:rsid w:val="103D6600"/>
    <w:rsid w:val="10566122"/>
    <w:rsid w:val="106204CB"/>
    <w:rsid w:val="10A90FB7"/>
    <w:rsid w:val="10EE0376"/>
    <w:rsid w:val="10F05AC0"/>
    <w:rsid w:val="11037A82"/>
    <w:rsid w:val="1106739D"/>
    <w:rsid w:val="11092167"/>
    <w:rsid w:val="110C3973"/>
    <w:rsid w:val="110D47B0"/>
    <w:rsid w:val="11110225"/>
    <w:rsid w:val="111930E1"/>
    <w:rsid w:val="11252430"/>
    <w:rsid w:val="1143676B"/>
    <w:rsid w:val="11471791"/>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933F94"/>
    <w:rsid w:val="14A601B4"/>
    <w:rsid w:val="14AA0D30"/>
    <w:rsid w:val="14BA3B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63B76"/>
    <w:rsid w:val="1B394ECA"/>
    <w:rsid w:val="1B401513"/>
    <w:rsid w:val="1B6F2A95"/>
    <w:rsid w:val="1B7011A6"/>
    <w:rsid w:val="1B785235"/>
    <w:rsid w:val="1B792ACF"/>
    <w:rsid w:val="1B840862"/>
    <w:rsid w:val="1B894395"/>
    <w:rsid w:val="1BB55613"/>
    <w:rsid w:val="1BC50E0F"/>
    <w:rsid w:val="1BC6758D"/>
    <w:rsid w:val="1BC84BF9"/>
    <w:rsid w:val="1BCA1AE9"/>
    <w:rsid w:val="1BD968B0"/>
    <w:rsid w:val="1BE008E5"/>
    <w:rsid w:val="1BE426E0"/>
    <w:rsid w:val="1BEF5EDC"/>
    <w:rsid w:val="1BF3045F"/>
    <w:rsid w:val="1C0C63DC"/>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906641"/>
    <w:rsid w:val="1D93356C"/>
    <w:rsid w:val="1D951979"/>
    <w:rsid w:val="1DA8336C"/>
    <w:rsid w:val="1DAF110E"/>
    <w:rsid w:val="1DB61054"/>
    <w:rsid w:val="1DB87467"/>
    <w:rsid w:val="1DC94431"/>
    <w:rsid w:val="1DD028C9"/>
    <w:rsid w:val="1DF402E5"/>
    <w:rsid w:val="1E107489"/>
    <w:rsid w:val="1E120047"/>
    <w:rsid w:val="1E2456FC"/>
    <w:rsid w:val="1E2B042A"/>
    <w:rsid w:val="1E387717"/>
    <w:rsid w:val="1E4314E9"/>
    <w:rsid w:val="1E5227F5"/>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76D10"/>
    <w:rsid w:val="21866291"/>
    <w:rsid w:val="218F0CEB"/>
    <w:rsid w:val="218F78F2"/>
    <w:rsid w:val="21A55BAA"/>
    <w:rsid w:val="21D50133"/>
    <w:rsid w:val="21EA64FE"/>
    <w:rsid w:val="223D4452"/>
    <w:rsid w:val="223F0861"/>
    <w:rsid w:val="224F77DA"/>
    <w:rsid w:val="227347E3"/>
    <w:rsid w:val="227D4749"/>
    <w:rsid w:val="22812FB7"/>
    <w:rsid w:val="229E476C"/>
    <w:rsid w:val="22B66C67"/>
    <w:rsid w:val="22B96619"/>
    <w:rsid w:val="22C32A6D"/>
    <w:rsid w:val="22C9349D"/>
    <w:rsid w:val="22CF4CB9"/>
    <w:rsid w:val="22E5714F"/>
    <w:rsid w:val="22E640D2"/>
    <w:rsid w:val="22F9307D"/>
    <w:rsid w:val="23017A9F"/>
    <w:rsid w:val="23073234"/>
    <w:rsid w:val="23153D35"/>
    <w:rsid w:val="231859C4"/>
    <w:rsid w:val="233651B2"/>
    <w:rsid w:val="233C5C01"/>
    <w:rsid w:val="234F51B0"/>
    <w:rsid w:val="23655593"/>
    <w:rsid w:val="237119E0"/>
    <w:rsid w:val="23873CA0"/>
    <w:rsid w:val="239B7C6E"/>
    <w:rsid w:val="23A668C2"/>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5628C1"/>
    <w:rsid w:val="2F5A61EE"/>
    <w:rsid w:val="2F6E6218"/>
    <w:rsid w:val="2F81781A"/>
    <w:rsid w:val="2FBA6AB0"/>
    <w:rsid w:val="2FDA5233"/>
    <w:rsid w:val="2FDC3277"/>
    <w:rsid w:val="30091058"/>
    <w:rsid w:val="30186987"/>
    <w:rsid w:val="302E6035"/>
    <w:rsid w:val="30396B3B"/>
    <w:rsid w:val="303B5C37"/>
    <w:rsid w:val="303D3D8D"/>
    <w:rsid w:val="30410449"/>
    <w:rsid w:val="304B34C7"/>
    <w:rsid w:val="304F51A4"/>
    <w:rsid w:val="30687159"/>
    <w:rsid w:val="306F3884"/>
    <w:rsid w:val="307953E8"/>
    <w:rsid w:val="30907ADE"/>
    <w:rsid w:val="30926BF6"/>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305658"/>
    <w:rsid w:val="3F4C1C29"/>
    <w:rsid w:val="3F545C32"/>
    <w:rsid w:val="3F8A3D39"/>
    <w:rsid w:val="3F8D0174"/>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501155"/>
    <w:rsid w:val="405229A9"/>
    <w:rsid w:val="405C35C7"/>
    <w:rsid w:val="407E4D25"/>
    <w:rsid w:val="409E45E2"/>
    <w:rsid w:val="40A52125"/>
    <w:rsid w:val="40B61FF8"/>
    <w:rsid w:val="40BB734D"/>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2125B2B"/>
    <w:rsid w:val="424D1C7F"/>
    <w:rsid w:val="425846A6"/>
    <w:rsid w:val="42624E34"/>
    <w:rsid w:val="427F218F"/>
    <w:rsid w:val="42840AD6"/>
    <w:rsid w:val="428B63CF"/>
    <w:rsid w:val="42911805"/>
    <w:rsid w:val="429A2964"/>
    <w:rsid w:val="42AF67D0"/>
    <w:rsid w:val="42BC0E70"/>
    <w:rsid w:val="42C245CE"/>
    <w:rsid w:val="42C80ECA"/>
    <w:rsid w:val="42DD0E52"/>
    <w:rsid w:val="42DD3CD5"/>
    <w:rsid w:val="43055EB8"/>
    <w:rsid w:val="431627BC"/>
    <w:rsid w:val="431A0C24"/>
    <w:rsid w:val="431A5591"/>
    <w:rsid w:val="431B1E1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F047E0"/>
    <w:rsid w:val="43FD6F00"/>
    <w:rsid w:val="440B02B4"/>
    <w:rsid w:val="441C5080"/>
    <w:rsid w:val="44233849"/>
    <w:rsid w:val="44633603"/>
    <w:rsid w:val="44680AA6"/>
    <w:rsid w:val="446B500C"/>
    <w:rsid w:val="446E17AC"/>
    <w:rsid w:val="448508DF"/>
    <w:rsid w:val="448D7707"/>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A030B"/>
    <w:rsid w:val="4C09252B"/>
    <w:rsid w:val="4C1713D3"/>
    <w:rsid w:val="4C3D55C6"/>
    <w:rsid w:val="4C427E43"/>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A653F2"/>
    <w:rsid w:val="4DCC74BE"/>
    <w:rsid w:val="4DE03AC2"/>
    <w:rsid w:val="4DEF02BD"/>
    <w:rsid w:val="4DF03991"/>
    <w:rsid w:val="4DF221E2"/>
    <w:rsid w:val="4E002256"/>
    <w:rsid w:val="4E0911A0"/>
    <w:rsid w:val="4E0D72D8"/>
    <w:rsid w:val="4E383ED6"/>
    <w:rsid w:val="4E5172B9"/>
    <w:rsid w:val="4E560D60"/>
    <w:rsid w:val="4E564593"/>
    <w:rsid w:val="4E5A2684"/>
    <w:rsid w:val="4E703F51"/>
    <w:rsid w:val="4E905710"/>
    <w:rsid w:val="4E942C0A"/>
    <w:rsid w:val="4E98220D"/>
    <w:rsid w:val="4EA02FF7"/>
    <w:rsid w:val="4EB7399D"/>
    <w:rsid w:val="4ECD2716"/>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AE7560"/>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D1BC3"/>
    <w:rsid w:val="51200E5F"/>
    <w:rsid w:val="5123009E"/>
    <w:rsid w:val="512548E9"/>
    <w:rsid w:val="512C2CA7"/>
    <w:rsid w:val="512D289E"/>
    <w:rsid w:val="514152FB"/>
    <w:rsid w:val="51434ED1"/>
    <w:rsid w:val="51606C08"/>
    <w:rsid w:val="516445A0"/>
    <w:rsid w:val="518353A4"/>
    <w:rsid w:val="518956A9"/>
    <w:rsid w:val="519F6ACE"/>
    <w:rsid w:val="51C83642"/>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700D3"/>
    <w:rsid w:val="53811681"/>
    <w:rsid w:val="538A520F"/>
    <w:rsid w:val="538C6CFB"/>
    <w:rsid w:val="53933E3F"/>
    <w:rsid w:val="53B418CC"/>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72AA0"/>
    <w:rsid w:val="55FF52A6"/>
    <w:rsid w:val="56061751"/>
    <w:rsid w:val="56095584"/>
    <w:rsid w:val="560E0C77"/>
    <w:rsid w:val="5633198E"/>
    <w:rsid w:val="563E5469"/>
    <w:rsid w:val="565F37E0"/>
    <w:rsid w:val="56600CBF"/>
    <w:rsid w:val="566755F7"/>
    <w:rsid w:val="56681618"/>
    <w:rsid w:val="566919C6"/>
    <w:rsid w:val="566C5546"/>
    <w:rsid w:val="56745BC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60214E"/>
    <w:rsid w:val="6071387E"/>
    <w:rsid w:val="607207D7"/>
    <w:rsid w:val="607A75EB"/>
    <w:rsid w:val="60932B78"/>
    <w:rsid w:val="60B1182C"/>
    <w:rsid w:val="60B54E5F"/>
    <w:rsid w:val="60D67EB5"/>
    <w:rsid w:val="60E72435"/>
    <w:rsid w:val="60F1240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F12BA4"/>
    <w:rsid w:val="61F1712C"/>
    <w:rsid w:val="61FC795F"/>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35457B"/>
    <w:rsid w:val="663743A7"/>
    <w:rsid w:val="663B78CC"/>
    <w:rsid w:val="664C4D93"/>
    <w:rsid w:val="66645598"/>
    <w:rsid w:val="66713242"/>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8057F"/>
    <w:rsid w:val="699906A2"/>
    <w:rsid w:val="69AC12C2"/>
    <w:rsid w:val="69C411D0"/>
    <w:rsid w:val="69C62FFA"/>
    <w:rsid w:val="69D86C6D"/>
    <w:rsid w:val="69FA48D7"/>
    <w:rsid w:val="6A0D6DC9"/>
    <w:rsid w:val="6A341444"/>
    <w:rsid w:val="6A4A19BA"/>
    <w:rsid w:val="6A564EBF"/>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714B6"/>
    <w:rsid w:val="6DEC1C21"/>
    <w:rsid w:val="6E0F1FEB"/>
    <w:rsid w:val="6E152319"/>
    <w:rsid w:val="6E155346"/>
    <w:rsid w:val="6E200829"/>
    <w:rsid w:val="6E3A7BFC"/>
    <w:rsid w:val="6E3B0BAF"/>
    <w:rsid w:val="6E3E0629"/>
    <w:rsid w:val="6E4E3E08"/>
    <w:rsid w:val="6E501AEB"/>
    <w:rsid w:val="6E7C11B5"/>
    <w:rsid w:val="6E7F556F"/>
    <w:rsid w:val="6E997C25"/>
    <w:rsid w:val="6E9C165A"/>
    <w:rsid w:val="6E9F07E1"/>
    <w:rsid w:val="6EA14A30"/>
    <w:rsid w:val="6EB6105A"/>
    <w:rsid w:val="6EC46D49"/>
    <w:rsid w:val="6EC629FF"/>
    <w:rsid w:val="6EC7282F"/>
    <w:rsid w:val="6ECA6C00"/>
    <w:rsid w:val="6F1C104C"/>
    <w:rsid w:val="6F26499B"/>
    <w:rsid w:val="6F2D024C"/>
    <w:rsid w:val="6F2D277B"/>
    <w:rsid w:val="6F2F3282"/>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73431"/>
    <w:rsid w:val="703C1CAA"/>
    <w:rsid w:val="703E1108"/>
    <w:rsid w:val="704B7EBD"/>
    <w:rsid w:val="7051053C"/>
    <w:rsid w:val="707F7FC1"/>
    <w:rsid w:val="70830694"/>
    <w:rsid w:val="7092075C"/>
    <w:rsid w:val="70A16710"/>
    <w:rsid w:val="70AF49AD"/>
    <w:rsid w:val="70CC6CCD"/>
    <w:rsid w:val="70E234A9"/>
    <w:rsid w:val="70E51433"/>
    <w:rsid w:val="71081951"/>
    <w:rsid w:val="710C10AD"/>
    <w:rsid w:val="71195FA1"/>
    <w:rsid w:val="711F23C1"/>
    <w:rsid w:val="71252C8F"/>
    <w:rsid w:val="712D7A96"/>
    <w:rsid w:val="71334F8E"/>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A334F"/>
    <w:rsid w:val="730440C9"/>
    <w:rsid w:val="730B241D"/>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855EB9"/>
    <w:rsid w:val="7692691E"/>
    <w:rsid w:val="76996365"/>
    <w:rsid w:val="769A10D0"/>
    <w:rsid w:val="76C2349E"/>
    <w:rsid w:val="76CB35EC"/>
    <w:rsid w:val="76D054CE"/>
    <w:rsid w:val="76D10C55"/>
    <w:rsid w:val="76D276DD"/>
    <w:rsid w:val="76D85DAB"/>
    <w:rsid w:val="76EA2D88"/>
    <w:rsid w:val="76FC5ECA"/>
    <w:rsid w:val="77040C67"/>
    <w:rsid w:val="773B587C"/>
    <w:rsid w:val="773F6299"/>
    <w:rsid w:val="77416C82"/>
    <w:rsid w:val="774271F2"/>
    <w:rsid w:val="77453760"/>
    <w:rsid w:val="77473689"/>
    <w:rsid w:val="77653D55"/>
    <w:rsid w:val="776A7D9F"/>
    <w:rsid w:val="77734AD9"/>
    <w:rsid w:val="77767106"/>
    <w:rsid w:val="77786FD4"/>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8603E2"/>
    <w:rsid w:val="7D9B3D45"/>
    <w:rsid w:val="7D9C553A"/>
    <w:rsid w:val="7DBB346B"/>
    <w:rsid w:val="7DD0508B"/>
    <w:rsid w:val="7DE4119D"/>
    <w:rsid w:val="7DEE5B58"/>
    <w:rsid w:val="7DEF4E30"/>
    <w:rsid w:val="7E0B1390"/>
    <w:rsid w:val="7E2B13AE"/>
    <w:rsid w:val="7E676A56"/>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footer14.xml" Type="http://schemas.openxmlformats.org/officeDocument/2006/relationships/footer"/><Relationship Id="rId2" Target="settings.xml" Type="http://schemas.openxmlformats.org/officeDocument/2006/relationships/settings"/><Relationship Id="rId20" Target="footer15.xml" Type="http://schemas.openxmlformats.org/officeDocument/2006/relationships/footer"/><Relationship Id="rId21" Target="theme/theme1.xml" Type="http://schemas.openxmlformats.org/officeDocument/2006/relationships/theme"/><Relationship Id="rId22" Target="../customXml/item1.xml" Type="http://schemas.openxmlformats.org/officeDocument/2006/relationships/customXml"/><Relationship Id="rId23" Target="fontTable.xml" Type="http://schemas.openxmlformats.org/officeDocument/2006/relationships/fontTable"/><Relationship Id="rId24" Target="media/image1.jpeg" Type="http://schemas.openxmlformats.org/officeDocument/2006/relationships/image"/><Relationship Id="rId25"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3386</Words>
  <Characters>7333</Characters>
  <Paragraphs>501</Paragraphs>
  <TotalTime>48</TotalTime>
  <ScaleCrop>false</ScaleCrop>
  <LinksUpToDate>false</LinksUpToDate>
  <CharactersWithSpaces>7399</CharactersWithSpaces>
  <Application>WPS Office_11.1.0.11294_F1E327BC-269C-435d-A152-05C5408002CA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有光的地方</cp:lastModifiedBy>
  <dcterms:modified xsi:type="dcterms:W3CDTF">2022-02-09T14:56:23Z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2052-11.1.0.11294</vt:lpwstr>
  </property>
  <property fmtid="{D5CDD505-2E9C-101B-9397-08002B2CF9AE}" pid="6" name="LastSaved">
    <vt:filetime>2021-04-15T00:00:00Z</vt:filetime>
  </property>
</Properties>
</file>