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南京市栖霞区交通运输局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一）贯彻执行国家、省、市关于交通运输工作的方针政 策和法律法规，拟订全区交通运输行业的发展战略、规划并组 织实施，指导区交通运输行业体制改革工作。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二）组织编制区综合交通运输体系规划及城乡道路（ 隧 桥）、社会公共停车场（与交通设施配套） 等交通基础设施专项 规划及年度计划，交通物流发展等行业规划。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三） 组织协调和管理城乡交通基础设施建设。负责全区 公路、城乡道路（隧桥）、社会公共停车场（与交通设施配套） 等建设和维护的行业管理； 承担全区交通建设市场监管、调控责任，维护交通建设市场秩序； 对全区交通建设项目的法定程 序和工程质量实施规范化监管。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四） 负责全区城乡道路、水路货物运输、道路货运站场、 运输辅助业和机动车维修、机动车驾驶培训等行业管理，维护 行业竞争秩序； 负责道路运输从业人员管理； 检查指导行业经 营行为和服务质量。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五）负责全区公路路政、水路运政、道路运政、维修和 驾培等交通运输综合行政执法工作。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六） 负责政府拨款的公路建设资金的监督和管理。协调 或参与交通建设资金的筹集，负责局管交通资金的拨付和监管； 负责集体资产管理和保值增值的监察监督。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七） 负责区交通运输科技与信息化工作。指导协调交通 运输行业信息化项目的建设与管理； 组织全区交通运输行业科 技项目的申报及成果推广； 负责全区交通运输综合统计和分析； 推动交通运输行业质量、技术、环保和节能减排工作。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 八） 负责区交通运输行业安全的监督管理。承担并指导 区交通运输行业应急处置工作； 组织实施重点物资运输和紧急 运输。</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 负责协调区铁路和公共交通相关工作。参与协调配 合铁路建设开发工作； 负责协调全区交通战备工作。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 指导全区交通运输行业队伍建设和精神文明建设。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办公室、政策法规科、财务管理科、规划建设科、养护管理科、公共交通科、安全管理科。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本部门下属单位包括:南京市栖霞区交通运输综合管理所、南京市栖霞区交通运输综合行政执法大队、南京市栖霞区公路管理站。</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南京市栖霞区交通运输局（本级），南京市栖霞区交通运输综合管理所，南京市栖霞区公路管理站，南京市栖霞区交通运输综合行政执法大队。</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2022年是党的二十大召开之年，也是实施“十四五”规划的关键一年，区交运局将继续以习近平新时代中国特色社会主义思想为指导，深入贯彻落实十九届六中全会和省市区党代会精神，主动扛起高质量发展先行官使命，持续推进交通运输发展提质增效，奋力谱写“强富美高”新栖霞建设的崭新篇章，以实际行动迎接党的二十大胜利召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开放互通，加快建设现代化综合立体交通网络。畅通区域通道，建成庐山路下穿尧兴铁路工程，做好智谷大道东延、马高路北延、万家楼立交改造、中山门大街改造等重点工程服务保障工作；加强对外互联，协调推进和燕路过江通道等3条过江通道、宁扬城际等4条轨道交通建设，配合开展宁芜铁路扩能改造工程实施，推进宁宣铁路前期工作，积极推动栖霞跨江融合发展和南京都市圈“东进”；立足区位优势，着力打造综合性交通枢纽，融入宁镇扬同城化、长三角一体化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战略引领，积极推动交通运输绿色低碳转型发展。以我区成功创建省绿色交通区域性项目示范区为契机，探索建成新能源重卡换电示范站，在全市率先构建超前、便利、高效的充换电网络体系；着眼公众出行绿色低碳，科学谋划公共停车场规划布局，扩大城乡公交线网覆盖范围，全年优化公交线路不少于6条；做好中央环保督查迎检，持续开展老旧柴油车淘汰工作；推动运输结构调整，逐步构建以尧化门铁路物流基地为核心的公、铁联运枢纽体系和以龙潭港区为核心的公、铁、水联运枢纽体系，打造现代化物流新高地，为推动实现“双碳”目标贡献交通力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科技赋能，持续完善行业治理现代化新格局。建设智慧交通运输管理平台，实现辖区交通运输数据资源在线集聚和融合应用，促进跨地区、跨部门、政企数据资源汇聚与共享，打造“栖霞交通大数据”名片；探索“大数据+指挥中心+综合执法队伍”综合执法新模式和“互联网+交通运输服务”，实现精细化管理和行政执法全过程动态监管，提高执法效率和应急处置能力，推动行业治理能力跨越式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底线思维，扎实做好疫情防控常态化工作。贯彻“外防输入、内防反弹”总策略，从严从紧抓好口岸防控，压实“四方责任”，落实“四早”要求，加强高风险岗位人员专班闭环管理，严格落实核酸检测“应检尽检”；持续做好重点人员转运，加强行业疫情防控，督促重点人员疫苗接种全覆盖，在防控措施上更加严密，在应急措施上更加果断，在能力保障上更加有力，严控疫情反弹风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问题导向，全面提升交通运输本质安全水平。统筹发展与安全，深化安全生产专业委员会效能，加强危化品运输、超限超载运输等重点领域专项排查整治，确保横向到边、纵向到底，打好打赢“三年大灶”收官战；进一步提升应急处置能力，不断提升本质安全水平；强化《安全生产法》在交通运输领域的指导应用，倒逼企业绷紧安全生产红线，形成依法治交、依法促安的高压态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坚持普惠民生，逐步实现农村公路常态化、规范化、高水平管理。完成22公里农村公路建设与养护，研究制定2022-2025年“四好农村路”养护工程计划，实施农村公路安全隐患治理和路域环境整治；全面深化农村公路养护体制改革，实行农村公路管理三级“路长制”；推动农村公共交通和物流服务体系建设，完善三级农村物流节点体系，推进城乡客运一体化发展。</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南京市栖霞区交通运输局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南京市栖霞区交通运输局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7,664.53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3,397.76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10,097.89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964.40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11,062.29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11,062.29</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11,062.29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11,062.29</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11,062.29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11,062.29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7,664.53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3,397.76</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348</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南京市栖霞区交通运输局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11,062.29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11,062.29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7,664.53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3,397.76</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348001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南京市栖霞区交通运输局（机关）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4,423.32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4,423.32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4,423.32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348002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南京市栖霞区交通运输综合管理所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462.86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462.86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462.86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348003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南京市栖霞区公路管理站</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4,837.04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4,837.04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1,489.28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3,347.76</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348004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南京市栖霞区交通运输综合行政执法大队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1,339.07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1,339.07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1,289.07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11,062.29</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6,723.24</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4,339.05</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交通运输支出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10,097.89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5,758.84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4,339.05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公路水路运输</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9,663.89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5,758.84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3,905.05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614.31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614.31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2140106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公路养护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5,529.15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3,907.50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1,621.65</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2140112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公路运输管理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375.15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369.15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其他公路水路运输支出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3,145.28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867.88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2,277.40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2149999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964.40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964.40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964.40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964.40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304.66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659.74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659.74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南京市栖霞区交通运输局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7,664.53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7,664.53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7,664.53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7,026.20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638.33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7,664.53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7,664.53</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7,664.53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3,925.48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3,630.20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295.28</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3,739.05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交通运输支出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7,026.20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3,287.15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2,991.87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295.28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3,739.05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公路水路运输</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6,642.20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3,287.15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2,991.87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295.28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3,355.05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614.31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614.31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564.29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2140106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公路养护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2,507.46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1,435.81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1,309.59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126.22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1,071.65</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2140112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公路运输管理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375.15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369.15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341.97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其他公路水路运输支出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3,145.28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867.88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776.02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91.86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2,277.40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2149999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638.33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238.15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238.15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238.15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400.18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400.18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400.18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南京市栖霞区交通运输局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3,925.48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3,630.20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2,430.65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498.90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65.34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1,055.15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1,055.15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1,024.68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1,024.68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7,664.53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3,925.48</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3,630.20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295.28</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3,739.05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交通运输支出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7,026.20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3,287.15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2,991.87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295.28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3,739.05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公路水路运输</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6,642.20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3,287.15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2,991.87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295.28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3,355.05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614.31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614.31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564.29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2140106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公路养护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2,507.46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1,435.81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1,309.59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126.22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1,071.65</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2140112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公路运输管理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375.15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369.15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341.97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其他公路水路运输支出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3,145.28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867.88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776.02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91.86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2,277.40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2149999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其他交通运输支出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638.33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238.15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238.15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238.15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400.18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400.18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400.18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3,925.48</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3,630.20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2,430.65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498.90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673.21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40.32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130.69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65.34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65.34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198.00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295.28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57.16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13.38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1,055.15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1,055.15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1,024.68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1,024.68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118.70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117.50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3.66</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南京市栖霞区交通运输局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南京市栖霞区交通运输局（机关）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喷墨打印机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投影仪</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多功能一体机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数字照相机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传真通信设备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普通电视设备（电视机）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木制台、桌类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木骨架为主的椅凳类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金属骨架沙发类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木质柜类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1.05</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南京市栖霞区交通运输综合管理所</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其他终端设备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喷墨打印机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木骨架为主的椅凳类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南京市栖霞区公路管理站</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其他网络控制设备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路面及养护机械</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其他家具用具</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南京市栖霞区交通运输综合行政执法大队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喷墨打印机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空调机组</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其他食品加工专用设备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木质柜类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其他家具用具</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2.84</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2.84</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南京市栖霞区交通运输局2022年度收入、支出预算总计11,062.29万元，与上年相比收、支预算总计各增加767.56万元，增长7.46%。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（一）收入预算总计11,062.29万元。包括：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1．本年收入合计11,062.29万元。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（1）一般公共预算拨款收入7,664.53万元，与上年相比增加631.42万元，增长8.98%。主要原因是农路建设资金及养护资金增加。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（9）其他收入3,397.76万元，与上年相比增加136.14万元，增长4.17%。主要原因是上级补助及自营收入的增加。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（二）支出预算总计11,062.29万元。包括：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1．本年支出合计11,062.29万元。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（1）交通运输支出（类）支出10,097.89万元，主要用于开展全区交通运输业务。与上年相比增加779.91万元，增长8.37%。主要原因是农路建设资金及养护资金增加。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（2）住房保障支出（类）支出964.4万元，主要用于住房公积金、提租补贴支出。与上年相比减少12.35万元，减少1.26%。主要原因是口径调整。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南京市栖霞区交通运输局2022年收入预算合计11,062.29万元，包括本年收入11,062.29万元，上年结转结余0万元。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本年一般公共预算收入7,664.53万元，占69.29%；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本年其他收入3,397.76万元，占30.71%；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南京市栖霞区交通运输局2022年支出预算合计11,062.29万元，其中：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基本支出6,723.24万元，占60.78%；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项目支出4,339.05万元，占39.22%；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南京市栖霞区交通运输局2022年度财政拨款收、支总预算7,664.53万元。与上年相比，财政拨款收、支总计各增加631.42万元，增长8.98%。主要原因是农路建设资金及养护资金增加。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南京市栖霞区交通运输局2022年财政拨款预算支出7,664.53万元，占本年支出合计的69.29%。与上年相比，财政拨款支出增加631.42万元，增长8.98%。主要原因是农路建设资金及养护资金增加。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（一）交通运输支出（类）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1.公路水路运输（款）行政运行（项）支出614.31万元，与上年相比增加3.15万元，增长0.52%。主要原因是人员增加。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2.公路水路运输（款）公路养护（项）支出2,507.46万元，与上年相比增加288.59万元，增长13.01%。主要原因是养护资金增加。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3.公路水路运输（款）公路运输管理（项）支出375.15万元，与上年相比增加16.89万元，增长4.71%。主要原因是人员增加。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4.公路水路运输（款）其他公路水路运输支出（项）支出3,145.28万元，与上年相比增加294.76万元，增长10.34%。主要原因是农路建设资金。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5.其他交通运输支出（款）其他交通运输支出（项）支出384万元，与上年预算数相同。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1.住房改革支出（款）住房公积金（项）支出238.15万元，与上年相比增加26.62万元，增长12.58%。主要原因是人员增加。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2.住房改革支出（款）购房补贴（项）支出400.18万元，与上年相比增加1.41万元，增长0.35%。主要原因是人员增加。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南京市栖霞区交通运输局2022年度财政拨款基本支出预算3,925.48万元，其中：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3,630.2万元。主要包括：基本工资、津贴补贴、奖金、伙食补助费、绩效工资、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（二）公用经费295.28万元。主要包括：办公费、水费、电费、邮电费、差旅费、会议费、培训费、公务接待费、工会经费、公务用车运行维护费、其他交通费用、其他商品和服务支出。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南京市栖霞区交通运输局2022年一般公共预算财政拨款支出预算7,664.53万元，与上年相比增加631.42万元，增长8.98%。主要原因是农路建设资金及养护资金增加。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南京市栖霞区交通运输局2022年度一般公共预算财政拨款基本支出预算3,925.48万元，其中：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3,630.2万元。主要包括：基本工资、津贴补贴、奖金、伙食补助费、绩效工资、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（二）公用经费295.28万元。主要包括：办公费、水费、电费、邮电费、差旅费、会议费、培训费、公务接待费、工会经费、公务用车运行维护费、其他交通费用、其他商品和服务支出。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一般公共预算拨款安排的“三公”经费预算支出中，因公出国（境）费支出0万元，占“三公”经费的0%；公务用车购置及运行维护费支出117.5万元，占“三公”经费的98.99%；公务接待费支出1.2万元，占“三公”经费的1.01%。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2．公务用车购置及运行维护费预算支出117.5万元。其中：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（2）公务用车运行维护费预算支出117.5万元，比上年预算增加51.6万元，主要原因是口径调整。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3．公务接待费预算支出1.2万元，比上年预算减少15.28万元，主要原因是本部门厉行节约，减少开支。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南京市栖霞区交通运输局2022年度一般公共预算拨款安排的会议费预算支出4万元，比上年预算减少17.96万元，主要原因是本部门厉行节约，减少开支。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南京市栖霞区交通运输局2022年度一般公共预算拨款安排的培训费预算支出5万元，比上年预算减少1.59万元，主要原因是本部门厉行节约，减少开支。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南京市栖霞区交通运输局2022年国有资本经营预算支出0万元。与上年预算数相同。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2022年本部门一般公共预算机关运行经费预算支出50.02万元。与上年相比减少6.4万元，减少11.34%。主要原因是本单位厉行节约减少开支。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2022年度政府采购支出预算总额77.4万元，其中：拟采购货物支出77.4万元、拟采购工程支出0万元、拟购买服务支出0万元。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40辆，其中，一般公务用车1辆、执法执勤用车17辆、特种专业技术用车19辆、业务用车3辆、其他用车0辆等。单价50万元（含）以上的通用设备0台（套），单价100万元（含）以上的专用设备1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2022年度，本部门整体支出纳入绩效目标管理，涉及四本预算资金11,062.29万元；本部门共12个项目纳入绩效目标管理，涉及四本预算资金合计4,339.05万元，占四本预算资金(基本支出除外)总额的比例为100%。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八、交通运输支出(类)公路水路运输(款)行政运行(项)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九、交通运输支出(类)公路水路运输(款)公路养护(项)</w:t>
      </w:r>
      <w:r>
        <w:rPr>
          <w:rFonts w:ascii="仿宋" w:hAnsi="仿宋" w:cs="仿宋" w:eastAsia="仿宋"/>
          <w:b w:val="true"/>
        </w:rPr>
        <w:t>：</w:t>
      </w:r>
      <w:r>
        <w:rPr>
          <w:rFonts w:hint="eastAsia" w:ascii="仿宋" w:hAnsi="仿宋" w:eastAsia="仿宋" w:cs="仿宋"/>
        </w:rPr>
        <w:t>反映公路养护支出。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十、交通运输支出(类)公路水路运输(款)公路运输管理(项)</w:t>
      </w:r>
      <w:r>
        <w:rPr>
          <w:rFonts w:ascii="仿宋" w:hAnsi="仿宋" w:cs="仿宋" w:eastAsia="仿宋"/>
          <w:b w:val="true"/>
        </w:rPr>
        <w:t>：</w:t>
      </w:r>
      <w:r>
        <w:rPr>
          <w:rFonts w:hint="eastAsia" w:ascii="仿宋" w:hAnsi="仿宋" w:eastAsia="仿宋" w:cs="仿宋"/>
        </w:rPr>
        <w:t>反映公路运输管理支出和公路路政管理支出。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十一、交通运输支出(类)公路水路运输(款)其他公路水路运输支出(项)</w:t>
      </w:r>
      <w:r>
        <w:rPr>
          <w:rFonts w:ascii="仿宋" w:hAnsi="仿宋" w:cs="仿宋" w:eastAsia="仿宋"/>
          <w:b w:val="true"/>
        </w:rPr>
        <w:t>：</w:t>
      </w:r>
      <w:r>
        <w:rPr>
          <w:rFonts w:hint="eastAsia" w:ascii="仿宋" w:hAnsi="仿宋" w:eastAsia="仿宋" w:cs="仿宋"/>
        </w:rPr>
        <w:t>反映除上述项目以外其他用于公路水路运输方面的支出。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十二、交通运输支出(类)其他交通运输支出(款)其他交通运输支出(项)</w:t>
      </w:r>
      <w:r>
        <w:rPr>
          <w:rFonts w:ascii="仿宋" w:hAnsi="仿宋" w:cs="仿宋" w:eastAsia="仿宋"/>
          <w:b w:val="true"/>
        </w:rPr>
        <w:t>：</w:t>
      </w:r>
      <w:r>
        <w:rPr>
          <w:rFonts w:hint="eastAsia" w:ascii="仿宋" w:hAnsi="仿宋" w:eastAsia="仿宋" w:cs="仿宋"/>
        </w:rPr>
        <w:t>反映其他交通运输支出中除对公共交通运营补助以外的其他支出。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南京市栖霞区交通运输局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